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60"/>
      </w:pPr>
    </w:p>
    <w:p>
      <w:pPr>
        <w:pStyle w:val="Heading1"/>
      </w:pPr>
      <w:r>
        <w:rPr>
          <w:rFonts w:ascii="Arial" w:cs="Arial" w:eastAsia="Arial" w:hAnsi="Arial"/>
          <w:b/>
          <w:bCs/>
          <w:color w:val="002F6C"/>
          <w:sz w:val="34"/>
          <w:szCs w:val="34"/>
        </w:rPr>
        <w:t xml:space="preserve">AI Knowledge Management &amp; Institutional Expert Capture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100"/>
        <w:gridCol w:w="3060"/>
      </w:tblGrid>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Project ID</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AI-PROJ-009</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Status</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In Production</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Department</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Enterprise-Wide / Knowledge Management</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Phase</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Optimize</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Executive Sponsor</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Chief Executive Officer &amp; CHRO</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Project Owner</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Chief Knowledge Officer</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Start Date</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Q4 2022</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End Date</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Q3 2023</w:t>
            </w:r>
          </w:p>
        </w:tc>
      </w:tr>
    </w:tbl>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Total Investment</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Annualized ROI</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Payback Period</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3-Year NPV</w:t>
            </w:r>
          </w:p>
        </w:tc>
      </w:tr>
      <w:tr>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$1,180,000</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C00000"/>
                <w:sz w:val="19"/>
                <w:szCs w:val="19"/>
              </w:rPr>
              <w:t xml:space="preserve">229%</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6.3 months</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375623"/>
                <w:sz w:val="19"/>
                <w:szCs w:val="19"/>
              </w:rPr>
              <w:t xml:space="preserve">$2,060,000</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Executive Summary</w:t>
      </w:r>
    </w:p>
    <w:p>
      <w:pPr>
        <w:spacing w:after="100" w:before="80"/>
      </w:pPr>
      <w:r>
        <w:rPr>
          <w:rFonts w:ascii="Arial" w:cs="Arial" w:eastAsia="Arial" w:hAnsi="Arial"/>
          <w:sz w:val="22"/>
          <w:szCs w:val="22"/>
        </w:rPr>
        <w:t xml:space="preserve">Deployment of an AI knowledge management platform that captures, structures, and makes queryable the institutional knowledge of the organization — including expertise held by senior employees, lessons learned from prior projects, and process knowledge not previously captured in formal documentation. The platform serves 8,400 employees across 14 offices, reduced time-to-competency for new hires by 38 days, cut expert consultation time by 61%, and is proactively preserving an estimated $4.2M in institutional knowledge value ahead of planned senior retirements.</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Business Case &amp; Opportunity</w:t>
      </w:r>
    </w:p>
    <w:p>
      <w:pPr>
        <w:spacing w:after="100" w:before="80"/>
      </w:pPr>
      <w:r>
        <w:rPr>
          <w:rFonts w:ascii="Arial" w:cs="Arial" w:eastAsia="Arial" w:hAnsi="Arial"/>
          <w:sz w:val="22"/>
          <w:szCs w:val="22"/>
        </w:rPr>
        <w:t xml:space="preserve">A workforce planning review highlighted a timely opportunity: 34% of employees with more than 15 years tenure were within 3 years of retirement eligibility. Leadership recognized this as a strategic moment to capture and systematize institutional knowledge before it walked out the door — and simultaneously to make that knowledge accessible to the broader workforce. New hire time-to-competency and the time required to locate internal experts were identified as high-impact operational metrics that a well-implemented knowledge platform could significantly improve.</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Solution Description</w:t>
      </w:r>
    </w:p>
    <w:p>
      <w:pPr>
        <w:spacing w:after="100" w:before="80"/>
      </w:pPr>
      <w:r>
        <w:rPr>
          <w:rFonts w:ascii="Arial" w:cs="Arial" w:eastAsia="Arial" w:hAnsi="Arial"/>
          <w:sz w:val="22"/>
          <w:szCs w:val="22"/>
        </w:rPr>
        <w:t xml:space="preserve">Microsoft Copilot for Microsoft 365 deployed as the primary knowledge interface, grounded on a structured knowledge graph built from SharePoint, Teams conversations, project deliverables, and expert-recorded knowledge sessions. Azure AI extracts and structures expertise profiles, project outcomes, and decision rationale from unstructured content. Copilot Studio agent enables employees to ask natural language questions and receive sourced, expert-attributed answers. Structured knowledge capture sessions recorded by senior employees are transcribed, indexed, and integrated into the knowledge graph. Power Pages knowledge portal provides curated topic hubs for critical domains.</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Outcomes &amp; Measured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20"/>
        <w:gridCol w:w="1920"/>
        <w:gridCol w:w="1920"/>
      </w:tblGrid>
      <w:tr>
        <w:tc>
          <w:tcPr>
            <w:tcW w:type="dxa" w:w="36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Metric</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Before AI</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After AI</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Change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New Hire Time-to-Competency</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94 days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56 days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9"/>
                <w:szCs w:val="19"/>
              </w:rPr>
              <w:t xml:space="preserve">-40%</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Time to Locate Internal Expert</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3.2 days avg</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&lt; 4 hours</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C00000"/>
                <w:sz w:val="19"/>
                <w:szCs w:val="19"/>
              </w:rPr>
              <w:t xml:space="preserve">-95%</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Expert Consultation Hours Per Employee/Month</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8.4 hrs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3.3 hrs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9"/>
                <w:szCs w:val="19"/>
              </w:rPr>
              <w:t xml:space="preserve">-61%</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Projects with Post-Completion Knowledge Capture</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12%</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94%</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375623"/>
                <w:sz w:val="19"/>
                <w:szCs w:val="19"/>
              </w:rPr>
              <w:t xml:space="preserve">+82 pts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Knowledge Queries Answered Without Expert Interrupt</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0%</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71%</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75623"/>
                <w:sz w:val="19"/>
                <w:szCs w:val="19"/>
              </w:rPr>
              <w:t xml:space="preserve">+71 pts</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At-Risk Institutional Knowledge Captured</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0%</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78%</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375623"/>
                <w:sz w:val="19"/>
                <w:szCs w:val="19"/>
              </w:rPr>
              <w:t xml:space="preserve">New</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Employee Confidence in Finding Internal Expertise</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42/100</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87/100</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75623"/>
                <w:sz w:val="19"/>
                <w:szCs w:val="19"/>
              </w:rPr>
              <w:t xml:space="preserve">+107%</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Financial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Financial Metric</w:t>
            </w:r>
          </w:p>
        </w:tc>
        <w:tc>
          <w:tcPr>
            <w:tcW w:type="dxa" w:w="396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Value</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1 Implementation Cost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$1,180,000</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1 Gross Benefit (productivity + knowledge retention)</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$2,700,000</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2 Run Cost (licensing + support)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$175,000/yr</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2–5 Annual Benefit</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$2,700,000/yr</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Projected Knowledge Retention Value (18-month horizon)</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$4,200,000</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3-Year NPV</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$2,060,000</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Annualized ROI</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229%</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Payback Period</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6.3 months</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Key Success Factors</w:t>
      </w:r>
    </w:p>
    <w:p>
      <w:pPr>
        <w:spacing w:after="100" w:before="80"/>
      </w:pPr>
      <w:r>
        <w:rPr>
          <w:rFonts w:ascii="Arial" w:cs="Arial" w:eastAsia="Arial" w:hAnsi="Arial"/>
          <w:sz w:val="22"/>
          <w:szCs w:val="22"/>
        </w:rPr>
        <w:t xml:space="preserve">CEO-level sponsorship is the single most important factor for driving senior employee participation in knowledge capture sessions. Framing participation as legacy-building — capturing hard-won expertise for the next generation of the organization — resonated far more than operational efficiency framing. Attributing AI-generated answers to the named experts whose knowledge underlies them was a key design decision that built trust and drove adoption across all levels. Starting with the highest-risk knowledge domains (fewest people, highest complexity, nearest retirement) maximizes early business impact.</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Next Steps &amp; Expansion Opportunities</w:t>
      </w:r>
    </w:p>
    <w:p>
      <w:pPr>
        <w:spacing w:after="100" w:before="80"/>
      </w:pPr>
      <w:r>
        <w:rPr>
          <w:rFonts w:ascii="Arial" w:cs="Arial" w:eastAsia="Arial" w:hAnsi="Arial"/>
          <w:sz w:val="22"/>
          <w:szCs w:val="22"/>
        </w:rPr>
        <w:t xml:space="preserve">Expanding structured knowledge capture to all employees above director level. Integrating with the learning management system to surface relevant internal expertise alongside formal training content. Building domain-specific knowledge hubs for the top 8 critical capability areas. Evaluating AI-generated successor readiness profiles based on knowledge gap analysis.</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2F6C" w:sz="4" w:space="1"/>
      </w:pBdr>
      <w:spacing w:before="100"/>
    </w:pPr>
    <w:r>
      <w:rPr>
        <w:rFonts w:ascii="Arial" w:cs="Arial" w:eastAsia="Arial" w:hAnsi="Arial"/>
        <w:color w:val="888888"/>
        <w:sz w:val="17"/>
        <w:szCs w:val="17"/>
      </w:rPr>
      <w:t xml:space="preserve">CONFIDENTIAL  |  For Internal Use Only  |  Page </w:t>
    </w:r>
    <w:r>
      <w:rPr>
        <w:rFonts w:ascii="Arial" w:cs="Arial" w:eastAsia="Arial" w:hAnsi="Arial"/>
        <w:color w:val="888888"/>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hd w:fill="002F6C" w:val="clear"/>
      <w:spacing w:after="0" w:before="0"/>
    </w:pPr>
    <w:r>
      <w:rPr>
        <w:rFonts w:ascii="Arial" w:cs="Arial" w:eastAsia="Arial" w:hAnsi="Arial"/>
        <w:b/>
        <w:bCs/>
        <w:color w:val="FFFFFF"/>
        <w:sz w:val="20"/>
        <w:szCs w:val="20"/>
      </w:rPr>
      <w:t xml:space="preserve">  AI INITIATIVE PROJECT SUMMARY  |  AI-PROJ-009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00"/>
      <w:outlineLvl w:val="0"/>
    </w:pPr>
    <w:rPr>
      <w:rFonts w:ascii="Arial" w:cs="Arial" w:eastAsia="Arial" w:hAnsi="Arial"/>
      <w:b/>
      <w:bCs/>
      <w:color w:val="002F6C"/>
      <w:sz w:val="34"/>
      <w:szCs w:val="34"/>
    </w:rPr>
  </w:style>
  <w:style w:type="paragraph" w:styleId="Heading2">
    <w:name w:val="Heading 2"/>
    <w:basedOn w:val="Normal"/>
    <w:next w:val="Normal"/>
    <w:qFormat/>
    <w:pPr>
      <w:spacing w:after="120" w:before="320"/>
      <w:outlineLvl w:val="1"/>
    </w:pPr>
    <w:rPr>
      <w:rFonts w:ascii="Arial" w:cs="Arial" w:eastAsia="Arial" w:hAnsi="Arial"/>
      <w:b/>
      <w:bCs/>
      <w:color w:val="002F6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2026-04-08T19:55:24.447Z</dcterms:created>
  <dcterms:modified xsi:type="dcterms:W3CDTF">2026-04-08T19:55:24.447Z</dcterms:modified>
</cp:coreProperties>
</file>

<file path=docProps/custom.xml><?xml version="1.0" encoding="utf-8"?>
<Properties xmlns="http://schemas.openxmlformats.org/officeDocument/2006/custom-properties" xmlns:vt="http://schemas.openxmlformats.org/officeDocument/2006/docPropsVTypes"/>
</file>