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60"/>
      </w:pPr>
    </w:p>
    <w:p>
      <w:pPr>
        <w:pStyle w:val="Heading1"/>
      </w:pPr>
      <w:r>
        <w:rPr>
          <w:rFonts w:ascii="Arial" w:cs="Arial" w:eastAsia="Arial" w:hAnsi="Arial"/>
          <w:b/>
          <w:bCs/>
          <w:color w:val="002F6C"/>
          <w:sz w:val="34"/>
          <w:szCs w:val="34"/>
        </w:rPr>
        <w:t xml:space="preserve">AI Compliance &amp; Regulatory Change Monitoring Platform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2100"/>
        <w:gridCol w:w="2100"/>
        <w:gridCol w:w="3060"/>
      </w:tblGrid>
      <w:tr>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Project ID</w:t>
            </w:r>
          </w:p>
        </w:tc>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AI-PROJ-008</w:t>
            </w:r>
          </w:p>
        </w:tc>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Status</w:t>
            </w:r>
          </w:p>
        </w:tc>
        <w:tc>
          <w:tcPr>
            <w:tcW w:type="dxa" w:w="3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In Production</w:t>
            </w:r>
          </w:p>
        </w:tc>
      </w:tr>
      <w:tr>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Department</w:t>
            </w:r>
          </w:p>
        </w:tc>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Legal / Compliance / Risk</w:t>
            </w:r>
          </w:p>
        </w:tc>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Phase</w:t>
            </w:r>
          </w:p>
        </w:tc>
        <w:tc>
          <w:tcPr>
            <w:tcW w:type="dxa" w:w="3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Optimize</w:t>
            </w:r>
          </w:p>
        </w:tc>
      </w:tr>
      <w:tr>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Executive Sponsor</w:t>
            </w:r>
          </w:p>
        </w:tc>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General Counsel &amp; Chief Risk Officer</w:t>
            </w:r>
          </w:p>
        </w:tc>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Project Owner</w:t>
            </w:r>
          </w:p>
        </w:tc>
        <w:tc>
          <w:tcPr>
            <w:tcW w:type="dxa" w:w="3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Director, Regulatory Affairs</w:t>
            </w:r>
          </w:p>
        </w:tc>
      </w:tr>
      <w:tr>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Start Date</w:t>
            </w:r>
          </w:p>
        </w:tc>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Q3 2023</w:t>
            </w:r>
          </w:p>
        </w:tc>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End Date</w:t>
            </w:r>
          </w:p>
        </w:tc>
        <w:tc>
          <w:tcPr>
            <w:tcW w:type="dxa" w:w="3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Q1 2024</w:t>
            </w:r>
          </w:p>
        </w:tc>
      </w:tr>
    </w:tbl>
    <w:p>
      <w:pPr>
        <w:spacing w:after="0"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Total Investment</w:t>
            </w:r>
          </w:p>
        </w:tc>
        <w:tc>
          <w:tcPr>
            <w:tcW w:type="dxa" w:w="234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Annualized ROI</w:t>
            </w:r>
          </w:p>
        </w:tc>
        <w:tc>
          <w:tcPr>
            <w:tcW w:type="dxa" w:w="234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Payback Period</w:t>
            </w:r>
          </w:p>
        </w:tc>
        <w:tc>
          <w:tcPr>
            <w:tcW w:type="dxa" w:w="234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3-Year NPV</w:t>
            </w:r>
          </w:p>
        </w:tc>
      </w:tr>
      <w:tr>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000000"/>
                <w:sz w:val="19"/>
                <w:szCs w:val="19"/>
              </w:rPr>
              <w:t xml:space="preserve">$980,000</w:t>
            </w:r>
          </w:p>
        </w:tc>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BF8F00"/>
                <w:sz w:val="19"/>
                <w:szCs w:val="19"/>
              </w:rPr>
              <w:t xml:space="preserve">276%</w:t>
            </w:r>
          </w:p>
        </w:tc>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000000"/>
                <w:sz w:val="19"/>
                <w:szCs w:val="19"/>
              </w:rPr>
              <w:t xml:space="preserve">5.2 months</w:t>
            </w:r>
          </w:p>
        </w:tc>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375623"/>
                <w:sz w:val="19"/>
                <w:szCs w:val="19"/>
              </w:rPr>
              <w:t xml:space="preserve">$2,330,000</w:t>
            </w:r>
          </w:p>
        </w:tc>
      </w:tr>
    </w:tbl>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Executive Summary</w:t>
      </w:r>
    </w:p>
    <w:p>
      <w:pPr>
        <w:spacing w:after="100" w:before="80"/>
      </w:pPr>
      <w:r>
        <w:rPr>
          <w:rFonts w:ascii="Arial" w:cs="Arial" w:eastAsia="Arial" w:hAnsi="Arial"/>
          <w:sz w:val="22"/>
          <w:szCs w:val="22"/>
        </w:rPr>
        <w:t xml:space="preserve">Deployment of an AI-powered regulatory monitoring platform that continuously scans 340+ regulatory sources across 28 jurisdictions, classifies changes by business impact, and routes obligations to accountable owners. Time from regulatory publication to internal alert reduced from 47 days to 4 hours. The compliance team redeployed 46 percentage points of capacity from monitoring to higher-value advisory and implementation work, with estimated proactive risk avoidance of $6.8M in Year 1.</w:t>
      </w:r>
    </w:p>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Business Case &amp; Opportunity</w:t>
      </w:r>
    </w:p>
    <w:p>
      <w:pPr>
        <w:spacing w:after="100" w:before="80"/>
      </w:pPr>
      <w:r>
        <w:rPr>
          <w:rFonts w:ascii="Arial" w:cs="Arial" w:eastAsia="Arial" w:hAnsi="Arial"/>
          <w:sz w:val="22"/>
          <w:szCs w:val="22"/>
        </w:rPr>
        <w:t xml:space="preserve">Leadership identified an opportunity to modernize the compliance function's approach to regulatory monitoring, which had relied on a combination of manual review and external counsel alerts across a growing number of jurisdictions. As the regulatory landscape expanded in complexity and volume, the team recognized that a technology-enabled approach would allow compliance professionals to spend less time on monitoring and more time on the strategic advisory and implementation work where their expertise creates the most value.</w:t>
      </w:r>
    </w:p>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Solution Description</w:t>
      </w:r>
    </w:p>
    <w:p>
      <w:pPr>
        <w:spacing w:after="100" w:before="80"/>
      </w:pPr>
      <w:r>
        <w:rPr>
          <w:rFonts w:ascii="Arial" w:cs="Arial" w:eastAsia="Arial" w:hAnsi="Arial"/>
          <w:sz w:val="22"/>
          <w:szCs w:val="22"/>
        </w:rPr>
        <w:t xml:space="preserve">Azure AI indexes 340+ regulatory sources including federal and state registers, international regulatory bodies, industry standards organizations, and enforcement action databases — updated continuously. Azure OpenAI classifies each change by regulation type, affected business unit, jurisdictions, and implementation urgency. Power Automate routes obligations to accountable owners with implementation deadlines and policy gap analysis. Copilot Studio agent allows compliance officers to query the regulatory landscape in natural language. Integration with the policy management system enables automatic flagging of policies requiring update.</w:t>
      </w:r>
    </w:p>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Outcomes &amp; Measured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920"/>
        <w:gridCol w:w="1920"/>
        <w:gridCol w:w="1920"/>
      </w:tblGrid>
      <w:tr>
        <w:tc>
          <w:tcPr>
            <w:tcW w:type="dxa" w:w="36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Metric</w:t>
            </w:r>
          </w:p>
        </w:tc>
        <w:tc>
          <w:tcPr>
            <w:tcW w:type="dxa" w:w="192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Before AI</w:t>
            </w:r>
          </w:p>
        </w:tc>
        <w:tc>
          <w:tcPr>
            <w:tcW w:type="dxa" w:w="192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After AI</w:t>
            </w:r>
          </w:p>
        </w:tc>
        <w:tc>
          <w:tcPr>
            <w:tcW w:type="dxa" w:w="192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Change</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Time from Reg Publication to Internal Alert</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47 days avg</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4 hours</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00000"/>
                <w:sz w:val="19"/>
                <w:szCs w:val="19"/>
              </w:rPr>
              <w:t xml:space="preserve">-99%</w:t>
            </w:r>
          </w:p>
        </w:tc>
      </w:tr>
      <w:tr>
        <w:tc>
          <w:tcPr>
            <w:tcW w:type="dxa" w:w="36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Regulatory Sources Monitored</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84</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340+</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375623"/>
                <w:sz w:val="19"/>
                <w:szCs w:val="19"/>
              </w:rPr>
              <w:t xml:space="preserve">+305%</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Jurisdictions with Active Coverage</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9</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28</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375623"/>
                <w:sz w:val="19"/>
                <w:szCs w:val="19"/>
              </w:rPr>
              <w:t xml:space="preserve">+211%</w:t>
            </w:r>
          </w:p>
        </w:tc>
      </w:tr>
      <w:tr>
        <w:tc>
          <w:tcPr>
            <w:tcW w:type="dxa" w:w="36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Compliance Team Time on Monitoring</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60%</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14%</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C00000"/>
                <w:sz w:val="19"/>
                <w:szCs w:val="19"/>
              </w:rPr>
              <w:t xml:space="preserve">-46 pts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Compliance Failures (trailing 12 months)</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1.5/yr avg</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0</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00000"/>
                <w:sz w:val="19"/>
                <w:szCs w:val="19"/>
              </w:rPr>
              <w:t xml:space="preserve">-100%</w:t>
            </w:r>
          </w:p>
        </w:tc>
      </w:tr>
      <w:tr>
        <w:tc>
          <w:tcPr>
            <w:tcW w:type="dxa" w:w="36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Estimated Proactive Risk Avoidance (Yr 1)</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N/A</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$6,800,000</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375623"/>
                <w:sz w:val="19"/>
                <w:szCs w:val="19"/>
              </w:rPr>
              <w:t xml:space="preserve">New</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Policy Review Cycle Time</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38 days</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9 days</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00000"/>
                <w:sz w:val="19"/>
                <w:szCs w:val="19"/>
              </w:rPr>
              <w:t xml:space="preserve">-76%</w:t>
            </w:r>
          </w:p>
        </w:tc>
      </w:tr>
    </w:tbl>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Financial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W w:type="dxa" w:w="54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Financial Metric</w:t>
            </w:r>
          </w:p>
        </w:tc>
        <w:tc>
          <w:tcPr>
            <w:tcW w:type="dxa" w:w="396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Value</w:t>
            </w:r>
          </w:p>
        </w:tc>
      </w:tr>
      <w:tr>
        <w:tc>
          <w:tcPr>
            <w:tcW w:type="dxa" w:w="5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Year 1 Implementation Cost</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000000"/>
                <w:sz w:val="19"/>
                <w:szCs w:val="19"/>
              </w:rPr>
              <w:t xml:space="preserve">$980,000</w:t>
            </w:r>
          </w:p>
        </w:tc>
      </w:tr>
      <w:tr>
        <w:tc>
          <w:tcPr>
            <w:tcW w:type="dxa" w:w="54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Year 1 Gross Benefit (risk avoidance + productivity)</w:t>
            </w:r>
          </w:p>
        </w:tc>
        <w:tc>
          <w:tcPr>
            <w:tcW w:type="dxa" w:w="39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000000"/>
                <w:sz w:val="19"/>
                <w:szCs w:val="19"/>
              </w:rPr>
              <w:t xml:space="preserve">$2,700,000</w:t>
            </w:r>
          </w:p>
        </w:tc>
      </w:tr>
      <w:tr>
        <w:tc>
          <w:tcPr>
            <w:tcW w:type="dxa" w:w="5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Year 2 Run Cost (licensing + support)</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000000"/>
                <w:sz w:val="19"/>
                <w:szCs w:val="19"/>
              </w:rPr>
              <w:t xml:space="preserve">$155,000/yr</w:t>
            </w:r>
          </w:p>
        </w:tc>
      </w:tr>
      <w:tr>
        <w:tc>
          <w:tcPr>
            <w:tcW w:type="dxa" w:w="54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Year 2–5 Annual Benefit</w:t>
            </w:r>
          </w:p>
        </w:tc>
        <w:tc>
          <w:tcPr>
            <w:tcW w:type="dxa" w:w="39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000000"/>
                <w:sz w:val="19"/>
                <w:szCs w:val="19"/>
              </w:rPr>
              <w:t xml:space="preserve">$2,700,000/yr</w:t>
            </w:r>
          </w:p>
        </w:tc>
      </w:tr>
      <w:tr>
        <w:tc>
          <w:tcPr>
            <w:tcW w:type="dxa" w:w="5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3-Year NPV</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000000"/>
                <w:sz w:val="19"/>
                <w:szCs w:val="19"/>
              </w:rPr>
              <w:t xml:space="preserve">$2,330,000</w:t>
            </w:r>
          </w:p>
        </w:tc>
      </w:tr>
      <w:tr>
        <w:tc>
          <w:tcPr>
            <w:tcW w:type="dxa" w:w="54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Annualized ROI</w:t>
            </w:r>
          </w:p>
        </w:tc>
        <w:tc>
          <w:tcPr>
            <w:tcW w:type="dxa" w:w="39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000000"/>
                <w:sz w:val="19"/>
                <w:szCs w:val="19"/>
              </w:rPr>
              <w:t xml:space="preserve">276%</w:t>
            </w:r>
          </w:p>
        </w:tc>
      </w:tr>
      <w:tr>
        <w:tc>
          <w:tcPr>
            <w:tcW w:type="dxa" w:w="5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Payback Period</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000000"/>
                <w:sz w:val="19"/>
                <w:szCs w:val="19"/>
              </w:rPr>
              <w:t xml:space="preserve">5.2 months</w:t>
            </w:r>
          </w:p>
        </w:tc>
      </w:tr>
    </w:tbl>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Key Success Factors</w:t>
      </w:r>
    </w:p>
    <w:p>
      <w:pPr>
        <w:spacing w:after="100" w:before="80"/>
      </w:pPr>
      <w:r>
        <w:rPr>
          <w:rFonts w:ascii="Arial" w:cs="Arial" w:eastAsia="Arial" w:hAnsi="Arial"/>
          <w:sz w:val="22"/>
          <w:szCs w:val="22"/>
        </w:rPr>
        <w:t xml:space="preserve">Completing a RACI mapping exercise for regulatory domains before go-live ensures every change surfaces with a clear owner — this is the organizational foundation that makes the technology effective. The natural language query interface proved to be the highest-engagement feature; compliance officers who could ask questions in plain English adopted the platform significantly faster. When presenting to the Board or Audit Committee, leading with proactive risk avoidance rather than productivity savings creates the strongest executive resonance for this use case.</w:t>
      </w:r>
    </w:p>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Next Steps &amp; Expansion Opportunities</w:t>
      </w:r>
    </w:p>
    <w:p>
      <w:pPr>
        <w:spacing w:after="100" w:before="80"/>
      </w:pPr>
      <w:r>
        <w:rPr>
          <w:rFonts w:ascii="Arial" w:cs="Arial" w:eastAsia="Arial" w:hAnsi="Arial"/>
          <w:sz w:val="22"/>
          <w:szCs w:val="22"/>
        </w:rPr>
        <w:t xml:space="preserve">Expanding to 60 jurisdictions by end of 2024. Integrating enforcement action data to add predictive risk scoring. Building board-ready regulatory risk dashboard with quarter-over-quarter trend reporting. Piloting AI-generated regulatory comment letters for rulemaking participation.</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2F6C" w:sz="4" w:space="1"/>
      </w:pBdr>
      <w:spacing w:before="100"/>
    </w:pPr>
    <w:r>
      <w:rPr>
        <w:rFonts w:ascii="Arial" w:cs="Arial" w:eastAsia="Arial" w:hAnsi="Arial"/>
        <w:color w:val="888888"/>
        <w:sz w:val="17"/>
        <w:szCs w:val="17"/>
      </w:rPr>
      <w:t xml:space="preserve">CONFIDENTIAL  |  For Internal Use Only  |  Page </w:t>
    </w:r>
    <w:r>
      <w:rPr>
        <w:rFonts w:ascii="Arial" w:cs="Arial" w:eastAsia="Arial" w:hAnsi="Arial"/>
        <w:color w:val="888888"/>
        <w:sz w:val="17"/>
        <w:szCs w:val="17"/>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hd w:fill="002F6C" w:val="clear"/>
      <w:spacing w:after="0" w:before="0"/>
    </w:pPr>
    <w:r>
      <w:rPr>
        <w:rFonts w:ascii="Arial" w:cs="Arial" w:eastAsia="Arial" w:hAnsi="Arial"/>
        <w:b/>
        <w:bCs/>
        <w:color w:val="FFFFFF"/>
        <w:sz w:val="20"/>
        <w:szCs w:val="20"/>
      </w:rPr>
      <w:t xml:space="preserve">  AI INITIATIVE PROJECT SUMMARY  |  AI-PROJ-008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00"/>
      <w:outlineLvl w:val="0"/>
    </w:pPr>
    <w:rPr>
      <w:rFonts w:ascii="Arial" w:cs="Arial" w:eastAsia="Arial" w:hAnsi="Arial"/>
      <w:b/>
      <w:bCs/>
      <w:color w:val="002F6C"/>
      <w:sz w:val="34"/>
      <w:szCs w:val="34"/>
    </w:rPr>
  </w:style>
  <w:style w:type="paragraph" w:styleId="Heading2">
    <w:name w:val="Heading 2"/>
    <w:basedOn w:val="Normal"/>
    <w:next w:val="Normal"/>
    <w:qFormat/>
    <w:pPr>
      <w:spacing w:after="120" w:before="320"/>
      <w:outlineLvl w:val="1"/>
    </w:pPr>
    <w:rPr>
      <w:rFonts w:ascii="Arial" w:cs="Arial" w:eastAsia="Arial" w:hAnsi="Arial"/>
      <w:b/>
      <w:bCs/>
      <w:color w:val="002F6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2026-04-08T19:55:24.358Z</dcterms:created>
  <dcterms:modified xsi:type="dcterms:W3CDTF">2026-04-08T19:55:24.358Z</dcterms:modified>
</cp:coreProperties>
</file>

<file path=docProps/custom.xml><?xml version="1.0" encoding="utf-8"?>
<Properties xmlns="http://schemas.openxmlformats.org/officeDocument/2006/custom-properties" xmlns:vt="http://schemas.openxmlformats.org/officeDocument/2006/docPropsVTypes"/>
</file>