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60"/>
      </w:pPr>
    </w:p>
    <w:p>
      <w:pPr>
        <w:pStyle w:val="Heading1"/>
      </w:pPr>
      <w:r>
        <w:rPr>
          <w:rFonts w:ascii="Arial" w:cs="Arial" w:eastAsia="Arial" w:hAnsi="Arial"/>
          <w:b/>
          <w:bCs/>
          <w:color w:val="002F6C"/>
          <w:sz w:val="34"/>
          <w:szCs w:val="34"/>
        </w:rPr>
        <w:t xml:space="preserve">AI-Powered Customer Service &amp; Contact Center Transformation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100"/>
        <w:gridCol w:w="2100"/>
        <w:gridCol w:w="3060"/>
      </w:tblGrid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Project ID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AI-PROJ-006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Status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In Production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Department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Customer Experience / Operations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Phase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Scale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Executive Sponsor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Chief Revenue Officer &amp; COO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Project Owner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VP, Customer Experience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Start Date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Q2 2023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End Date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Q4 2023</w:t>
            </w:r>
          </w:p>
        </w:tc>
      </w:tr>
    </w:tbl>
    <w:p>
      <w:pPr>
        <w:spacing w:after="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Total Investment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Annualized ROI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Payback Period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3-Year NPV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$2,100,000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514%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2.8 months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$8,420,000</w:t>
            </w:r>
          </w:p>
        </w:tc>
      </w:tr>
    </w:tbl>
    <w:p>
      <w:pPr>
        <w:pBdr>
          <w:bottom w:val="single" w:color="002F6C" w:sz="6" w:space="1"/>
        </w:pBdr>
        <w:spacing w:after="120" w:before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002F6C"/>
          <w:sz w:val="26"/>
          <w:szCs w:val="26"/>
        </w:rPr>
        <w:t xml:space="preserve">Executive Summary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Deployment of an AI-first contact center platform combining Azure AI, Copilot for Service, and a Copilot Studio-based virtual agent across voice, chat, and email channels. The solution deflects 68% of inbound contacts without agent involvement, reduced average handle time by 44%, and improved CSAT from 71 to 93 — simultaneously cutting cost and improving experience. Annual savings of $10.8M achieved through contact deflection, handle time reduction, and agent redeployment.</w:t>
      </w:r>
    </w:p>
    <w:p>
      <w:pPr>
        <w:pBdr>
          <w:bottom w:val="single" w:color="002F6C" w:sz="6" w:space="1"/>
        </w:pBdr>
        <w:spacing w:after="120" w:before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002F6C"/>
          <w:sz w:val="26"/>
          <w:szCs w:val="26"/>
        </w:rPr>
        <w:t xml:space="preserve">Business Case &amp; Opportunity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Leadership identified a significant opportunity to modernize the contact center, which handled 1.4 million annual contacts across voice, chat, and email. Analysis showed that 65–70% of contacts were repeat inquiries that could be resolved faster and more consistently through AI. With average handle time of 8.4 minutes and first contact resolution at 61%, the team saw clear runway to improve both efficiency and customer experience simultaneously. This initiative was also an opportunity to meaningfully improve agent experience by removing repetitive, low-value inquiry handling from their workload.</w:t>
      </w:r>
    </w:p>
    <w:p>
      <w:pPr>
        <w:pBdr>
          <w:bottom w:val="single" w:color="002F6C" w:sz="6" w:space="1"/>
        </w:pBdr>
        <w:spacing w:after="120" w:before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002F6C"/>
          <w:sz w:val="26"/>
          <w:szCs w:val="26"/>
        </w:rPr>
        <w:t xml:space="preserve">Solution Description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Copilot Studio virtual agent deployed across web chat, mobile, and voice channels for tier-1 contact deflection, grounded on product documentation, order management APIs, and CRM history. Azure OpenAI powers intent classification and response generation with real-time knowledge retrieval. Copilot for Service surfaces AI-generated response suggestions, customer context summaries, and next-best-action guidance to live agents. Post-contact summarization eliminates manual after-call work. Azure AI analyzes 100% of contacts for quality, sentiment, and coaching opportunity — replacing a 3% manual sample review.</w:t>
      </w:r>
    </w:p>
    <w:p>
      <w:pPr>
        <w:pBdr>
          <w:bottom w:val="single" w:color="002F6C" w:sz="6" w:space="1"/>
        </w:pBdr>
        <w:spacing w:after="120" w:before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002F6C"/>
          <w:sz w:val="26"/>
          <w:szCs w:val="26"/>
        </w:rPr>
        <w:t xml:space="preserve">Outcomes &amp; Measured Results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920"/>
        <w:gridCol w:w="1920"/>
        <w:gridCol w:w="192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Metric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Before AI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After AI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Change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Contact Deflection Rate (no agent)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0%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68%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+68 pts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Average Handle Time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8.4 minutes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4.7 minutes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19"/>
                <w:szCs w:val="19"/>
              </w:rPr>
              <w:t xml:space="preserve">-44%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First Contact Resolution Rate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61%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87%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+26 pts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Cost Per Contact (blended)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$14.20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$5.80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19"/>
                <w:szCs w:val="19"/>
              </w:rPr>
              <w:t xml:space="preserve">-59%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Agent Attrition Rate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38%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21%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19"/>
                <w:szCs w:val="19"/>
              </w:rPr>
              <w:t xml:space="preserve">-45%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Customer Satisfaction (CSAT)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71/100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93/100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+31%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After-Call Work Time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4.2 minutes avg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0.4 minutes avg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19"/>
                <w:szCs w:val="19"/>
              </w:rPr>
              <w:t xml:space="preserve">-90%</w:t>
            </w:r>
          </w:p>
        </w:tc>
      </w:tr>
    </w:tbl>
    <w:p>
      <w:pPr>
        <w:pBdr>
          <w:bottom w:val="single" w:color="002F6C" w:sz="6" w:space="1"/>
        </w:pBdr>
        <w:spacing w:after="120" w:before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002F6C"/>
          <w:sz w:val="26"/>
          <w:szCs w:val="26"/>
        </w:rPr>
        <w:t xml:space="preserve">Financial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3960"/>
      </w:tblGrid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Financial Metric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2F6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Value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Year 1 Implementation Cost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$2,100,000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Year 1 Gross Benefit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$10,800,000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Year 2 Run Cost (licensing + support)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$380,000/yr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Year 2–5 Annual Benefit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$10,800,000/yr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3-Year NPV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$8,420,000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Annualized ROI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514%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Payback Period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2.8 months</w:t>
            </w:r>
          </w:p>
        </w:tc>
      </w:tr>
    </w:tbl>
    <w:p>
      <w:pPr>
        <w:pBdr>
          <w:bottom w:val="single" w:color="002F6C" w:sz="6" w:space="1"/>
        </w:pBdr>
        <w:spacing w:after="120" w:before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002F6C"/>
          <w:sz w:val="26"/>
          <w:szCs w:val="26"/>
        </w:rPr>
        <w:t xml:space="preserve">Key Success Factors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Investing in knowledge quality upfront is the highest-leverage action before deployment. Teams that treated the knowledge base as a living asset — with ongoing curation and ownership — sustained the strongest deflection rates over time. Agent adoption accelerated significantly when frontline supervisors were engaged as champions early and given hands-on experience before rollout. Framing the initiative as an agent empowerment program, not a headcount reduction, drove engagement and sustained the improvements in attrition.</w:t>
      </w:r>
    </w:p>
    <w:p>
      <w:pPr>
        <w:pBdr>
          <w:bottom w:val="single" w:color="002F6C" w:sz="6" w:space="1"/>
        </w:pBdr>
        <w:spacing w:after="120" w:before="200"/>
      </w:pP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002F6C"/>
          <w:sz w:val="26"/>
          <w:szCs w:val="26"/>
        </w:rPr>
        <w:t xml:space="preserve">Next Steps &amp; Expansion Opportunities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Expanding AI quality monitoring to real-time coaching alerts during live contacts (Q3 2024). Deploying proactive outbound AI outreach for renewal and churn risk customers. Evaluating voice biometrics for authentication deflection on high-volume IVR flows. Targeting 80% deflection rate by end of 2024 through continued knowledge expansion.</w:t>
      </w:r>
    </w:p>
    <w:sectPr>
      <w:headerReference w:type="default" r:id="rId7"/>
      <w:footerReference w:type="default" r:id="rId8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2F6C" w:sz="4" w:space="1"/>
      </w:pBdr>
      <w:spacing w:before="100"/>
    </w:pPr>
    <w:r>
      <w:rPr>
        <w:rFonts w:ascii="Arial" w:cs="Arial" w:eastAsia="Arial" w:hAnsi="Arial"/>
        <w:color w:val="888888"/>
        <w:sz w:val="17"/>
        <w:szCs w:val="17"/>
      </w:rPr>
      <w:t xml:space="preserve">CONFIDENTIAL  |  For Internal Use Only  |  Page </w:t>
    </w:r>
    <w:r>
      <w:rPr>
        <w:rFonts w:ascii="Arial" w:cs="Arial" w:eastAsia="Arial" w:hAnsi="Arial"/>
        <w:color w:val="888888"/>
        <w:sz w:val="17"/>
        <w:szCs w:val="17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hd w:fill="002F6C" w:val="clear"/>
      <w:spacing w:after="0" w:before="0"/>
    </w:pPr>
    <w:r>
      <w:rPr>
        <w:rFonts w:ascii="Arial" w:cs="Arial" w:eastAsia="Arial" w:hAnsi="Arial"/>
        <w:b/>
        <w:bCs/>
        <w:color w:val="FFFFFF"/>
        <w:sz w:val="20"/>
        <w:szCs w:val="20"/>
      </w:rPr>
      <w:t xml:space="preserve">  AI INITIATIVE PROJECT SUMMARY  |  AI-PROJ-006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00"/>
      <w:outlineLvl w:val="0"/>
    </w:pPr>
    <w:rPr>
      <w:rFonts w:ascii="Arial" w:cs="Arial" w:eastAsia="Arial" w:hAnsi="Arial"/>
      <w:b/>
      <w:bCs/>
      <w:color w:val="002F6C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320"/>
      <w:outlineLvl w:val="1"/>
    </w:pPr>
    <w:rPr>
      <w:rFonts w:ascii="Arial" w:cs="Arial" w:eastAsia="Arial" w:hAnsi="Arial"/>
      <w:b/>
      <w:bCs/>
      <w:color w:val="002F6C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2026-04-08T19:55:24.085Z</dcterms:created>
  <dcterms:modified xsi:type="dcterms:W3CDTF">2026-04-08T19:55:24.086Z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