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ZAVA NDA STANDARD POSITIONS — QUICK REFERENCE</w:t>
      </w:r>
    </w:p>
    <w:p>
      <w:r>
        <w:rPr>
          <w:b w:val="0"/>
          <w:sz w:val="22"/>
        </w:rPr>
        <w:t>Synthetic training content. Use for quick comparisons.</w:t>
      </w:r>
    </w:p>
    <w:p>
      <w:pPr>
        <w:pStyle w:val="Heading1"/>
      </w:pPr>
      <w:r>
        <w:t>Preferred Summary</w:t>
      </w:r>
    </w:p>
    <w:p>
      <w:pPr>
        <w:pStyle w:val="ListBullet"/>
      </w:pPr>
      <w:r>
        <w:t>Mutual NDA; balanced obligations and remedies.</w:t>
      </w:r>
    </w:p>
    <w:p>
      <w:pPr>
        <w:pStyle w:val="ListBullet"/>
      </w:pPr>
      <w:r>
        <w:t>Purpose limited to a named evaluation/project.</w:t>
      </w:r>
    </w:p>
    <w:p>
      <w:pPr>
        <w:pStyle w:val="ListBullet"/>
      </w:pPr>
      <w:r>
        <w:t>3-year confidentiality term; trade secrets protected as long as they remain trade secrets.</w:t>
      </w:r>
    </w:p>
    <w:p>
      <w:pPr>
        <w:pStyle w:val="ListBullet"/>
      </w:pPr>
      <w:r>
        <w:t>No residuals clause; no implied license or IP assignment.</w:t>
      </w:r>
    </w:p>
    <w:p>
      <w:pPr>
        <w:pStyle w:val="ListBullet"/>
      </w:pPr>
      <w:r>
        <w:t>Return/destroy upon request (one archival copy allowed).</w:t>
      </w:r>
    </w:p>
    <w:p>
      <w:pPr>
        <w:pStyle w:val="ListBullet"/>
      </w:pPr>
      <w:r>
        <w:t>Baseline security controls and no production/regulatory data sharing under NDA.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