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TOP 10 NDA RED FLAGS (ZAVA QUICK CHECK)</w:t>
      </w:r>
    </w:p>
    <w:p>
      <w:r>
        <w:rPr>
          <w:b/>
          <w:sz w:val="22"/>
        </w:rPr>
        <w:t>Last updated: March 31, 2026</w:t>
      </w:r>
    </w:p>
    <w:p>
      <w:r>
        <w:rPr>
          <w:b w:val="0"/>
          <w:sz w:val="22"/>
        </w:rPr>
        <w:t>Synthetic training content. Use for first-pass issue spotting; escalate to legal as needed.</w:t>
      </w:r>
    </w:p>
    <w:p>
      <w:pPr>
        <w:pStyle w:val="Heading2"/>
      </w:pPr>
      <w:r>
        <w:t>1. Residuals clause</w:t>
      </w:r>
    </w:p>
    <w:p>
      <w:r>
        <w:rPr>
          <w:b w:val="0"/>
          <w:sz w:val="22"/>
        </w:rPr>
        <w:t>Allows the recipient to use “memory” of confidential info, risking IP leakage.</w:t>
      </w:r>
    </w:p>
    <w:p>
      <w:r>
        <w:rPr>
          <w:b w:val="0"/>
          <w:sz w:val="22"/>
        </w:rPr>
        <w:t>Common action: request standard language or escalate to legal for review.</w:t>
      </w:r>
    </w:p>
    <w:p>
      <w:pPr>
        <w:pStyle w:val="Heading2"/>
      </w:pPr>
      <w:r>
        <w:t>2. Broad purpose</w:t>
      </w:r>
    </w:p>
    <w:p>
      <w:r>
        <w:rPr>
          <w:b w:val="0"/>
          <w:sz w:val="22"/>
        </w:rPr>
        <w:t>Permits use “for any business purpose” instead of a specific project.</w:t>
      </w:r>
    </w:p>
    <w:p>
      <w:r>
        <w:rPr>
          <w:b w:val="0"/>
          <w:sz w:val="22"/>
        </w:rPr>
        <w:t>Common action: request standard language or escalate to legal for review.</w:t>
      </w:r>
    </w:p>
    <w:p>
      <w:pPr>
        <w:pStyle w:val="Heading2"/>
      </w:pPr>
      <w:r>
        <w:t>3. Overbroad confidentiality definition</w:t>
      </w:r>
    </w:p>
    <w:p>
      <w:r>
        <w:rPr>
          <w:b w:val="0"/>
          <w:sz w:val="22"/>
        </w:rPr>
        <w:t>Treats everything as confidential forever, or removes standard exclusions.</w:t>
      </w:r>
    </w:p>
    <w:p>
      <w:r>
        <w:rPr>
          <w:b w:val="0"/>
          <w:sz w:val="22"/>
        </w:rPr>
        <w:t>Common action: request standard language or escalate to legal for review.</w:t>
      </w:r>
    </w:p>
    <w:p>
      <w:pPr>
        <w:pStyle w:val="Heading2"/>
      </w:pPr>
      <w:r>
        <w:t>4. One-way obligations</w:t>
      </w:r>
    </w:p>
    <w:p>
      <w:r>
        <w:rPr>
          <w:b w:val="0"/>
          <w:sz w:val="22"/>
        </w:rPr>
        <w:t>Only one party is bound or only one party gets remedies.</w:t>
      </w:r>
    </w:p>
    <w:p>
      <w:r>
        <w:rPr>
          <w:b w:val="0"/>
          <w:sz w:val="22"/>
        </w:rPr>
        <w:t>Common action: request standard language or escalate to legal for review.</w:t>
      </w:r>
    </w:p>
    <w:p>
      <w:pPr>
        <w:pStyle w:val="Heading2"/>
      </w:pPr>
      <w:r>
        <w:t>5. Unlimited liability / indemnity for disclosure</w:t>
      </w:r>
    </w:p>
    <w:p>
      <w:r>
        <w:rPr>
          <w:b w:val="0"/>
          <w:sz w:val="22"/>
        </w:rPr>
        <w:t>Creates disproportionate risk for routine discussions.</w:t>
      </w:r>
    </w:p>
    <w:p>
      <w:r>
        <w:rPr>
          <w:b w:val="0"/>
          <w:sz w:val="22"/>
        </w:rPr>
        <w:t>Common action: request standard language or escalate to legal for review.</w:t>
      </w:r>
    </w:p>
    <w:p>
      <w:pPr>
        <w:pStyle w:val="Heading2"/>
      </w:pPr>
      <w:r>
        <w:t>6. Assignment of IP / license grant</w:t>
      </w:r>
    </w:p>
    <w:p>
      <w:r>
        <w:rPr>
          <w:b w:val="0"/>
          <w:sz w:val="22"/>
        </w:rPr>
        <w:t>Turns an NDA into an IP agreement.</w:t>
      </w:r>
    </w:p>
    <w:p>
      <w:r>
        <w:rPr>
          <w:b w:val="0"/>
          <w:sz w:val="22"/>
        </w:rPr>
        <w:t>Common action: request standard language or escalate to legal for review.</w:t>
      </w:r>
    </w:p>
    <w:p>
      <w:pPr>
        <w:pStyle w:val="Heading2"/>
      </w:pPr>
      <w:r>
        <w:t>7. Disclosure to affiliates without controls</w:t>
      </w:r>
    </w:p>
    <w:p>
      <w:r>
        <w:rPr>
          <w:b w:val="0"/>
          <w:sz w:val="22"/>
        </w:rPr>
        <w:t>Allows sharing widely without equivalent confidentiality obligations.</w:t>
      </w:r>
    </w:p>
    <w:p>
      <w:r>
        <w:rPr>
          <w:b w:val="0"/>
          <w:sz w:val="22"/>
        </w:rPr>
        <w:t>Common action: request standard language or escalate to legal for review.</w:t>
      </w:r>
    </w:p>
    <w:p>
      <w:pPr>
        <w:pStyle w:val="Heading2"/>
      </w:pPr>
      <w:r>
        <w:t>8. Mandatory arbitration / unusual venue</w:t>
      </w:r>
    </w:p>
    <w:p>
      <w:r>
        <w:rPr>
          <w:b w:val="0"/>
          <w:sz w:val="22"/>
        </w:rPr>
        <w:t>Harder to enforce, may increase costs or reduce remedies.</w:t>
      </w:r>
    </w:p>
    <w:p>
      <w:r>
        <w:rPr>
          <w:b w:val="0"/>
          <w:sz w:val="22"/>
        </w:rPr>
        <w:t>Common action: request standard language or escalate to legal for review.</w:t>
      </w:r>
    </w:p>
    <w:p>
      <w:pPr>
        <w:pStyle w:val="Heading2"/>
      </w:pPr>
      <w:r>
        <w:t>9. No return/destruction requirement</w:t>
      </w:r>
    </w:p>
    <w:p>
      <w:r>
        <w:rPr>
          <w:b w:val="0"/>
          <w:sz w:val="22"/>
        </w:rPr>
        <w:t>Increases risk of long-term retention and reuse.</w:t>
      </w:r>
    </w:p>
    <w:p>
      <w:r>
        <w:rPr>
          <w:b w:val="0"/>
          <w:sz w:val="22"/>
        </w:rPr>
        <w:t>Common action: request standard language or escalate to legal for review.</w:t>
      </w:r>
    </w:p>
    <w:p>
      <w:pPr>
        <w:pStyle w:val="Heading2"/>
      </w:pPr>
      <w:r>
        <w:t>10. Security terms weaker than Zava minimums</w:t>
      </w:r>
    </w:p>
    <w:p>
      <w:r>
        <w:rPr>
          <w:b w:val="0"/>
          <w:sz w:val="22"/>
        </w:rPr>
        <w:t>No encryption, no incident response, or unrestricted subprocessors.</w:t>
      </w:r>
    </w:p>
    <w:p>
      <w:r>
        <w:rPr>
          <w:b w:val="0"/>
          <w:sz w:val="22"/>
        </w:rPr>
        <w:t>Common action: request standard language or escalate to legal for review.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