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ZAVA APPROVED DATA SECURITY CLAUSE (SYNTHETIC)</w:t>
      </w:r>
    </w:p>
    <w:p>
      <w:r>
        <w:rPr>
          <w:b/>
          <w:sz w:val="22"/>
        </w:rPr>
        <w:t>Last updated: March 31, 2026</w:t>
      </w:r>
    </w:p>
    <w:p>
      <w:r>
        <w:rPr>
          <w:b w:val="0"/>
          <w:sz w:val="22"/>
        </w:rPr>
        <w:t>For training/demonstration only. Not legal advice.</w:t>
      </w:r>
    </w:p>
    <w:p>
      <w:pPr>
        <w:pStyle w:val="Heading1"/>
      </w:pPr>
      <w:r>
        <w:t>Data Security</w:t>
      </w:r>
    </w:p>
    <w:p>
      <w:r>
        <w:rPr>
          <w:b w:val="0"/>
          <w:sz w:val="22"/>
        </w:rPr>
        <w:t>If Confidential Information includes non-public technical information, security information, or any personal data, Recipient will implement and maintain a written information security program that includes administrative, physical, and technical safeguards designed to protect Confidential Information against unauthorized access, destruction, loss, alteration, or disclosure.</w:t>
      </w:r>
    </w:p>
    <w:p>
      <w:pPr>
        <w:pStyle w:val="Heading1"/>
      </w:pPr>
      <w:r>
        <w:t>Minimum Controls</w:t>
      </w:r>
    </w:p>
    <w:p>
      <w:pPr>
        <w:pStyle w:val="ListBullet"/>
      </w:pPr>
      <w:r>
        <w:t>Access controls: role-based access, least privilege, and periodic access review.</w:t>
      </w:r>
    </w:p>
    <w:p>
      <w:pPr>
        <w:pStyle w:val="ListBullet"/>
      </w:pPr>
      <w:r>
        <w:t>Encryption: encrypt Confidential Information in transit using modern TLS and at rest using industry-standard encryption.</w:t>
      </w:r>
    </w:p>
    <w:p>
      <w:pPr>
        <w:pStyle w:val="ListBullet"/>
      </w:pPr>
      <w:r>
        <w:t>Segmentation: separate Confidential Information from public or test datasets; avoid commingling.</w:t>
      </w:r>
    </w:p>
    <w:p>
      <w:pPr>
        <w:pStyle w:val="ListBullet"/>
      </w:pPr>
      <w:r>
        <w:t>Endpoint security: malware protection and timely patching for systems accessing Confidential Information.</w:t>
      </w:r>
    </w:p>
    <w:p>
      <w:pPr>
        <w:pStyle w:val="ListBullet"/>
      </w:pPr>
      <w:r>
        <w:t>Audit logging: maintain logs for access to Confidential Information and retain logs for at least 180 days.</w:t>
      </w:r>
    </w:p>
    <w:p>
      <w:pPr>
        <w:pStyle w:val="ListBullet"/>
      </w:pPr>
      <w:r>
        <w:t>Incident response: maintain an incident response plan and notify Discloser of a confirmed security incident impacting Confidential Information within 72 hours after confirmation, including reasonable details then available.</w:t>
      </w:r>
    </w:p>
    <w:p>
      <w:pPr>
        <w:pStyle w:val="ListBullet"/>
      </w:pPr>
      <w:r>
        <w:t>Subprocessors: do not use subcontractors to process Confidential Information without written agreements imposing protections at least as strict as this Agreement.</w:t>
      </w:r>
    </w:p>
    <w:p>
      <w:pPr>
        <w:pStyle w:val="Heading1"/>
      </w:pPr>
      <w:r>
        <w:t>No Production Data</w:t>
      </w:r>
    </w:p>
    <w:p>
      <w:r>
        <w:rPr>
          <w:b w:val="0"/>
          <w:sz w:val="22"/>
        </w:rPr>
        <w:t>The Parties agree that no production customer data, regulated personal data, or export-controlled data will be shared under this NDA. Any exchange of such data requires a separate written agreement (e.g., data processing addendum) and explicit security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