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ZAVA NDA REVIEW PLAYBOOK (SYNTHETIC)</w:t>
      </w:r>
    </w:p>
    <w:p>
      <w:r>
        <w:rPr>
          <w:b/>
          <w:sz w:val="22"/>
        </w:rPr>
        <w:t>Last updated: March 31, 2026</w:t>
      </w:r>
    </w:p>
    <w:p>
      <w:r>
        <w:rPr>
          <w:b w:val="0"/>
          <w:sz w:val="22"/>
        </w:rPr>
        <w:t>Purpose: Enable consistent first-pass NDA triage. This document is synthetic training content and not legal advice.</w:t>
      </w:r>
    </w:p>
    <w:p>
      <w:pPr>
        <w:pStyle w:val="Heading1"/>
      </w:pPr>
      <w:r>
        <w:t>How to Use This Playbook</w:t>
      </w:r>
    </w:p>
    <w:p>
      <w:pPr>
        <w:pStyle w:val="ListBullet"/>
      </w:pPr>
      <w:r>
        <w:t>Use this playbook to identify deviations from Zava’s preferred NDA positions.</w:t>
      </w:r>
    </w:p>
    <w:p>
      <w:pPr>
        <w:pStyle w:val="ListBullet"/>
      </w:pPr>
      <w:r>
        <w:t>Classify each deviation as High / Medium / Low risk based on business impact and likelihood.</w:t>
      </w:r>
    </w:p>
    <w:p>
      <w:pPr>
        <w:pStyle w:val="ListBullet"/>
      </w:pPr>
      <w:r>
        <w:t>Recommend an action: Accept, Request change, Escalate to Legal, or Block pending Legal review.</w:t>
      </w:r>
    </w:p>
    <w:p>
      <w:pPr>
        <w:pStyle w:val="ListBullet"/>
      </w:pPr>
      <w:r>
        <w:t>Always document the clause reference and a short rationale in plain language.</w:t>
      </w:r>
    </w:p>
    <w:p>
      <w:pPr>
        <w:pStyle w:val="Heading1"/>
      </w:pPr>
      <w:r>
        <w:t>Risk Scoring Rubric (Simple)</w:t>
      </w:r>
    </w:p>
    <w:p>
      <w:r>
        <w:rPr>
          <w:b w:val="0"/>
          <w:sz w:val="22"/>
        </w:rPr>
        <w:t>High: creates material liability, weakens IP rights, broad disclosure obligations, or conflicts with Zava security/privacy requirements.</w:t>
      </w:r>
    </w:p>
    <w:p>
      <w:r>
        <w:rPr>
          <w:b w:val="0"/>
          <w:sz w:val="22"/>
        </w:rPr>
        <w:t>Medium: non-standard but manageable with clarifications, caps, or carve-outs.</w:t>
      </w:r>
    </w:p>
    <w:p>
      <w:r>
        <w:rPr>
          <w:b w:val="0"/>
          <w:sz w:val="22"/>
        </w:rPr>
        <w:t>Low: mostly stylistic or operational changes with minimal exposure.</w:t>
      </w:r>
    </w:p>
    <w:p>
      <w:pPr>
        <w:pStyle w:val="Heading1"/>
      </w:pPr>
      <w:r>
        <w:t>Preferred Positions &amp; Fallbacks</w:t>
      </w:r>
    </w:p>
    <w:p>
      <w:pPr>
        <w:pStyle w:val="Heading2"/>
      </w:pPr>
      <w:r>
        <w:t>Confidentiality Term</w:t>
      </w:r>
    </w:p>
    <w:p>
      <w:pPr>
        <w:pStyle w:val="ListBullet"/>
      </w:pPr>
      <w:r>
        <w:t>Preferred: 3 years from disclosure; Trade secrets protected as long as they remain trade secrets.</w:t>
      </w:r>
    </w:p>
    <w:p>
      <w:pPr>
        <w:pStyle w:val="ListBullet"/>
      </w:pPr>
      <w:r>
        <w:t>Fallback: 5 years max if required; avoid perpetual obligations for all information.</w:t>
      </w:r>
    </w:p>
    <w:p>
      <w:pPr>
        <w:pStyle w:val="Heading2"/>
      </w:pPr>
      <w:r>
        <w:t>Permitted Purpose</w:t>
      </w:r>
    </w:p>
    <w:p>
      <w:pPr>
        <w:pStyle w:val="ListBullet"/>
      </w:pPr>
      <w:r>
        <w:t>Preferred: limited to evaluating a specific named project / transaction.</w:t>
      </w:r>
    </w:p>
    <w:p>
      <w:pPr>
        <w:pStyle w:val="ListBullet"/>
      </w:pPr>
      <w:r>
        <w:t>Fallback: allow “business discussions” only if paired with clear scope and no broad use rights.</w:t>
      </w:r>
    </w:p>
    <w:p>
      <w:pPr>
        <w:pStyle w:val="Heading2"/>
      </w:pPr>
      <w:r>
        <w:t>Residuals / Memory Clause</w:t>
      </w:r>
    </w:p>
    <w:p>
      <w:pPr>
        <w:pStyle w:val="ListBullet"/>
      </w:pPr>
      <w:r>
        <w:t>Preferred: No residuals clause.</w:t>
      </w:r>
    </w:p>
    <w:p>
      <w:pPr>
        <w:pStyle w:val="ListBullet"/>
      </w:pPr>
      <w:r>
        <w:t>Fallback: If unavoidable, restrict to non-intentional memory and exclude source code, architectures, and customer data.</w:t>
      </w:r>
    </w:p>
    <w:p>
      <w:pPr>
        <w:pStyle w:val="Heading2"/>
      </w:pPr>
      <w:r>
        <w:t>Injunctive Relief</w:t>
      </w:r>
    </w:p>
    <w:p>
      <w:pPr>
        <w:pStyle w:val="ListBullet"/>
      </w:pPr>
      <w:r>
        <w:t>Preferred: mutual injunctive relief for breach.</w:t>
      </w:r>
    </w:p>
    <w:p>
      <w:pPr>
        <w:pStyle w:val="ListBullet"/>
      </w:pPr>
      <w:r>
        <w:t>Fallback: keep mutual; avoid one-sided entitlement.</w:t>
      </w:r>
    </w:p>
    <w:p>
      <w:pPr>
        <w:pStyle w:val="Heading2"/>
      </w:pPr>
      <w:r>
        <w:t>Governing Law &amp; Venue</w:t>
      </w:r>
    </w:p>
    <w:p>
      <w:pPr>
        <w:pStyle w:val="ListBullet"/>
      </w:pPr>
      <w:r>
        <w:t>Preferred: Delaware; neutral venue for disputes.</w:t>
      </w:r>
    </w:p>
    <w:p>
      <w:pPr>
        <w:pStyle w:val="ListBullet"/>
      </w:pPr>
      <w:r>
        <w:t>Fallback: Counterparty’s venue acceptable for low-risk engagements; escalate if international or unfamiliar jurisdiction.</w:t>
      </w:r>
    </w:p>
    <w:p>
      <w:pPr>
        <w:pStyle w:val="Heading2"/>
      </w:pPr>
      <w:r>
        <w:t>Disclosure to Affiliates / Advisors</w:t>
      </w:r>
    </w:p>
    <w:p>
      <w:pPr>
        <w:pStyle w:val="ListBullet"/>
      </w:pPr>
      <w:r>
        <w:t>Preferred: allowed only on need-to-know with written confidentiality obligations.</w:t>
      </w:r>
    </w:p>
    <w:p>
      <w:pPr>
        <w:pStyle w:val="ListBullet"/>
      </w:pPr>
      <w:r>
        <w:t>Fallback: allow affiliates if defined and bound by equivalent protections; require responsibility for their breach.</w:t>
      </w:r>
    </w:p>
    <w:p>
      <w:pPr>
        <w:pStyle w:val="Heading2"/>
      </w:pPr>
      <w:r>
        <w:t>Security / Data Handling</w:t>
      </w:r>
    </w:p>
    <w:p>
      <w:pPr>
        <w:pStyle w:val="ListBullet"/>
      </w:pPr>
      <w:r>
        <w:t>Preferred: Zava approved Data Security Clause (see separate doc) + no production data exchange via NDA.</w:t>
      </w:r>
    </w:p>
    <w:p>
      <w:pPr>
        <w:pStyle w:val="ListBullet"/>
      </w:pPr>
      <w:r>
        <w:t>Fallback: if they require their own clause, map it to Zava minimum controls and escalate if gaps.</w:t>
      </w:r>
    </w:p>
    <w:p>
      <w:pPr>
        <w:pStyle w:val="Heading2"/>
      </w:pPr>
      <w:r>
        <w:t>No Warranty / No Obligation</w:t>
      </w:r>
    </w:p>
    <w:p>
      <w:pPr>
        <w:pStyle w:val="ListBullet"/>
      </w:pPr>
      <w:r>
        <w:t>Preferred: standard “as-is” and no obligation to proceed.</w:t>
      </w:r>
    </w:p>
    <w:p>
      <w:pPr>
        <w:pStyle w:val="ListBullet"/>
      </w:pPr>
      <w:r>
        <w:t>Fallback: ok to clarify non-reliance and no license; avoid implied partnership language.</w:t>
      </w:r>
    </w:p>
    <w:p>
      <w:pPr>
        <w:pStyle w:val="Heading1"/>
      </w:pPr>
      <w:r>
        <w:t>Escalation Triggers (Always Send to Legal)</w:t>
      </w:r>
    </w:p>
    <w:p>
      <w:pPr>
        <w:pStyle w:val="ListBullet"/>
      </w:pPr>
      <w:r>
        <w:t>Any clause that assigns IP ownership, grants license rights, or restricts Zava’s ability to develop products.</w:t>
      </w:r>
    </w:p>
    <w:p>
      <w:pPr>
        <w:pStyle w:val="ListBullet"/>
      </w:pPr>
      <w:r>
        <w:t>Unlimited liability or broad indemnities tied to disclosure.</w:t>
      </w:r>
    </w:p>
    <w:p>
      <w:pPr>
        <w:pStyle w:val="ListBullet"/>
      </w:pPr>
      <w:r>
        <w:t>Broad “residuals” or “clean room” obligations.</w:t>
      </w:r>
    </w:p>
    <w:p>
      <w:pPr>
        <w:pStyle w:val="ListBullet"/>
      </w:pPr>
      <w:r>
        <w:t>Requests to share production/customer data or regulated data without a separate data processing agreement.</w:t>
      </w:r>
    </w:p>
    <w:p>
      <w:pPr>
        <w:pStyle w:val="ListBullet"/>
      </w:pPr>
      <w:r>
        <w:t>Unusual jurisdiction or mandatory arbitration with unfavorable rules.</w:t>
      </w:r>
    </w:p>
    <w:p>
      <w:pPr>
        <w:pStyle w:val="ListBullet"/>
      </w:pPr>
      <w:r>
        <w:t>Any requirement to notify the counterparty about incidents beyond Zava’s standard security incident process.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